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2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"/>
        <w:gridCol w:w="3403"/>
        <w:gridCol w:w="7229"/>
        <w:tblGridChange w:id="0">
          <w:tblGrid>
            <w:gridCol w:w="425"/>
            <w:gridCol w:w="3403"/>
            <w:gridCol w:w="7229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Название проекта</w:t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Номинация</w:t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a6a6a6"/>
                <w:sz w:val="20"/>
                <w:szCs w:val="20"/>
                <w:rtl w:val="0"/>
              </w:rPr>
              <w:t xml:space="preserve">Выбрать одну номинацию: "Спасение жизни" или "Качество жизни"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Сроки реализации проекта</w:t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a6a6a6"/>
                <w:sz w:val="20"/>
                <w:szCs w:val="20"/>
                <w:rtl w:val="0"/>
              </w:rPr>
              <w:t xml:space="preserve">К рассмотрению принимаются проекты, завершенные (или постоянно действующие, но принесшие результаты) до момента подачи заявки.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Сведения об организации-заявителе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Название организации</w:t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Адрес организации (регион, город)</w:t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Сайт организации, аккаунты в соцсетях</w:t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ФИО руководителя проекта</w:t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Контакты для связи (телефон, электронная почта)</w:t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Аннотация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right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Краткое описание проекта (1500 знаков с пробелами)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right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2"/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Актуальность проекта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На решение какой проблемы направлен проект, 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right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почему именно эта проблема особенно важна для пациентов в регионе/подопечной медицинской организации/ и т.д.,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right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какое количество пациентов затрагивает проект, 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какова доля целевой аудитории проекта в общем количестве пациентов региона,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right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как решение проблемы повлияет на эффективность лечения/качество жизни пациентов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right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gridSpan w:val="2"/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Благополучатели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right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Кому именно оказывается помощь: 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right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медицинские организации или их подразделения,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right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группы пациентов, и т.д.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2"/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Подготовительная 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right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Изученный российский и мировой опыт,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right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выбор модели или создание собственной модели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right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right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right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right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right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right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gridSpan w:val="2"/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Описание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Цели проекта </w:t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Цели проекта в соответствии с описанной проблемой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Задачи проекта, направленные на достижение Целей, Механизмы/методы, используемые в реализации каждой задачи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По следующему плану:</w:t>
              <w:br w:type="textWrapping"/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Задача, метод для ее решения, этапы реализации, критерии оценки результатов</w:t>
              <w:br w:type="textWrapping"/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Задача, метод для ее решения, этапы реализации, критерии оценки результатов</w:t>
              <w:br w:type="textWrapping"/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 т.д.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Имеющиеся препятствия/сложности в решении задач и пути их преодоления</w:t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Оригинальные решения, профессиональные находки, сделанные в ходе реализации проекта</w:t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Привлеченные ресурсы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В количественном измерении: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- бюджет (денежные, руб.) - если возможно подсчитать 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- человеческие (чел.) – сотрудники, волонтеры 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- услуги pro bono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- техническое оснащение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- др.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Результативность и эффективность проекта </w:t>
            </w:r>
          </w:p>
        </w:tc>
        <w:tc>
          <w:tcPr>
            <w:shd w:fill="ffffff" w:val="clear"/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По следующим критериям: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- соответствие результатов поставленным целями и задачам 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- влияние результатов проекта на качество жизни и доступность помощи детям, больным раком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- влияние результатов проекта на внутреннее развитие организации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- влияние результатов проекта на репутацию/имидж организации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Перспективы развития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Условия для дальнейшего развития проекта: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- новые партнеры, полученные в ходе реализации проекта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- поддержка проекта различными структурами в регионе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Сопроводительные материалы </w:t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ссылка для скачивания документов с файлообменника: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Презентация, копии публикаций в СМИ, отзывы благополучателей, ссылки на размещенные в сети интернет видео-, фото-материалы. 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Объём приложений и вспомогательных материалов к кейсу должен быть разумно-достаточным при наилучшем качестве.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Копии учредительных документов и отчетов Минюсту за 2020 год</w:t>
            </w:r>
          </w:p>
        </w:tc>
        <w:tc>
          <w:tcPr>
            <w:tcMar>
              <w:top w:w="32.0" w:type="dxa"/>
              <w:left w:w="49.0" w:type="dxa"/>
              <w:bottom w:w="32.0" w:type="dxa"/>
              <w:right w:w="49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ссылка для скачивания документов с файлообменника</w:t>
            </w:r>
          </w:p>
        </w:tc>
      </w:tr>
    </w:tbl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CB31B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EghRRRRTnuOvEvZQFFg/DcR4UA==">AMUW2mXFsxZgg+CJ6Pp88/nqLCXMts+ZmsD0NiAvL4pEEEt4CVwciBSjhSQo48Zt0d7WKUW8nVHlHVXHOf4XAZriT3yzxdlmP/I9e9NRhAQi98dhz1jClhjCOtTvPeqTBdgDMkwYJfYp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2021-12-06T12:06:00Z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0x0101000BF81699AD092840B275672F1CDC164E</vt:lpwstr>
  </property>
</Properties>
</file>